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CE" w:rsidRDefault="00030EC4">
      <w:pPr>
        <w:rPr>
          <w:lang w:val="pt-BR"/>
        </w:rPr>
      </w:pPr>
      <w:r>
        <w:rPr>
          <w:lang w:val="pt-BR"/>
        </w:rPr>
        <w:br/>
        <w:t>Conclusões</w:t>
      </w:r>
    </w:p>
    <w:p w:rsidR="00030EC4" w:rsidRDefault="00030EC4">
      <w:pPr>
        <w:rPr>
          <w:lang w:val="pt-BR"/>
        </w:rPr>
      </w:pPr>
    </w:p>
    <w:p w:rsidR="00030EC4" w:rsidRPr="00DF7203" w:rsidRDefault="00030EC4" w:rsidP="00030EC4">
      <w:pPr>
        <w:pStyle w:val="ListParagraph"/>
        <w:numPr>
          <w:ilvl w:val="0"/>
          <w:numId w:val="2"/>
        </w:numPr>
        <w:ind w:left="709" w:firstLine="0"/>
      </w:pPr>
      <w:bookmarkStart w:id="0" w:name="_GoBack"/>
      <w:bookmarkEnd w:id="0"/>
      <w:r w:rsidRPr="00DF7203">
        <w:t>Estratégias combinatórias de fabricação e caracterização de materiais foram implementadas com sucesso para o estudo de estabilidade de fases quasicristalinas e intermetálicas bem como para o estudo de sua região composicional de formação.</w:t>
      </w:r>
    </w:p>
    <w:p w:rsidR="00030EC4" w:rsidRPr="00DF7203" w:rsidRDefault="00030EC4" w:rsidP="00030EC4">
      <w:pPr>
        <w:pStyle w:val="ListParagraph"/>
        <w:numPr>
          <w:ilvl w:val="0"/>
          <w:numId w:val="2"/>
        </w:numPr>
        <w:ind w:left="709" w:firstLine="0"/>
      </w:pPr>
      <w:r w:rsidRPr="00DF7203">
        <w:t>O sistema Al-Cu-Fe na região rica em Al teve mais de 140 composições de ligas estudadas tanto no estado “como fabricado</w:t>
      </w:r>
      <w:r>
        <w:t>”</w:t>
      </w:r>
      <w:r w:rsidRPr="00DF7203">
        <w:t xml:space="preserve">, por </w:t>
      </w:r>
      <w:r w:rsidRPr="00DF7203">
        <w:rPr>
          <w:i/>
        </w:rPr>
        <w:t>magnetron sputtering</w:t>
      </w:r>
      <w:r w:rsidRPr="00DF7203">
        <w:t xml:space="preserve"> quanto após tratamentos térmicos a 400, 520 e 600 °C. </w:t>
      </w:r>
    </w:p>
    <w:p w:rsidR="00030EC4" w:rsidRPr="00DF7203" w:rsidRDefault="00030EC4" w:rsidP="00030EC4">
      <w:pPr>
        <w:pStyle w:val="ListParagraph"/>
        <w:numPr>
          <w:ilvl w:val="0"/>
          <w:numId w:val="2"/>
        </w:numPr>
        <w:ind w:left="709" w:firstLine="0"/>
      </w:pPr>
      <w:r w:rsidRPr="00DF7203">
        <w:t>A região de formação da fase quasicristalina foi identificada, validando o método combinatório para ser aplicado para essa finalidade.</w:t>
      </w:r>
    </w:p>
    <w:p w:rsidR="00030EC4" w:rsidRPr="00DF7203" w:rsidRDefault="00030EC4" w:rsidP="00030EC4">
      <w:pPr>
        <w:pStyle w:val="ListParagraph"/>
        <w:numPr>
          <w:ilvl w:val="0"/>
          <w:numId w:val="2"/>
        </w:numPr>
        <w:ind w:left="709" w:firstLine="0"/>
        <w:rPr>
          <w:rFonts w:cs="Arial"/>
        </w:rPr>
      </w:pPr>
      <w:r w:rsidRPr="00DF7203">
        <w:t xml:space="preserve">O estudo de estabilidade e transformação de fases mostrou que fases com configuração atômica politetraedral, como a fase quasicristalina e a fase </w:t>
      </w:r>
      <w:r w:rsidRPr="00DF7203">
        <w:rPr>
          <w:rFonts w:eastAsia="Helvetica" w:cs="Arial"/>
          <w:szCs w:val="24"/>
          <w:lang w:val="en-US"/>
        </w:rPr>
        <w:t>λ</w:t>
      </w:r>
      <w:r w:rsidRPr="00DF7203">
        <w:rPr>
          <w:rFonts w:eastAsia="Helvetica" w:cs="Arial"/>
          <w:szCs w:val="24"/>
        </w:rPr>
        <w:t>-Al</w:t>
      </w:r>
      <w:r w:rsidRPr="00DF7203">
        <w:rPr>
          <w:rFonts w:cs="Arial"/>
          <w:szCs w:val="24"/>
          <w:vertAlign w:val="subscript"/>
        </w:rPr>
        <w:t>13</w:t>
      </w:r>
      <w:r w:rsidRPr="00DF7203">
        <w:rPr>
          <w:rFonts w:cs="Arial"/>
          <w:szCs w:val="24"/>
        </w:rPr>
        <w:t>Fe</w:t>
      </w:r>
      <w:r w:rsidRPr="00DF7203">
        <w:rPr>
          <w:rFonts w:cs="Arial"/>
          <w:szCs w:val="24"/>
          <w:vertAlign w:val="subscript"/>
        </w:rPr>
        <w:t>4</w:t>
      </w:r>
      <w:r w:rsidRPr="00DF7203">
        <w:rPr>
          <w:rFonts w:ascii="Times New Roman" w:hAnsi="Times New Roman" w:cs="Times New Roman"/>
          <w:szCs w:val="24"/>
        </w:rPr>
        <w:t xml:space="preserve"> </w:t>
      </w:r>
      <w:r w:rsidRPr="00DF7203">
        <w:rPr>
          <w:rFonts w:cs="Arial"/>
          <w:szCs w:val="24"/>
        </w:rPr>
        <w:t>exibem altas taxas de nucleação a partir de uma fase amorfa devido à baixa barreira energética para sua nucleação (baixa energia superficial). Além disso, essas fases apresentam baixas velocidades de crescimento, o que junto com a alta taxa de nucleação acarreta em uma estrutura de grão</w:t>
      </w:r>
      <w:r>
        <w:rPr>
          <w:rFonts w:cs="Arial"/>
          <w:szCs w:val="24"/>
        </w:rPr>
        <w:t>s</w:t>
      </w:r>
      <w:r w:rsidRPr="00DF7203">
        <w:rPr>
          <w:rFonts w:cs="Arial"/>
          <w:szCs w:val="24"/>
        </w:rPr>
        <w:t xml:space="preserve"> mais refinada do que as fases que se formam nas proximidades (</w:t>
      </w:r>
      <w:r w:rsidRPr="00DF7203">
        <w:rPr>
          <w:rFonts w:eastAsiaTheme="minorEastAsia" w:cs="Arial"/>
          <w:szCs w:val="24"/>
          <w:lang w:val="en-US"/>
        </w:rPr>
        <w:t>φ</w:t>
      </w:r>
      <w:r w:rsidRPr="00DF7203">
        <w:rPr>
          <w:rFonts w:eastAsiaTheme="minorEastAsia" w:cs="Arial"/>
          <w:szCs w:val="24"/>
        </w:rPr>
        <w:t>-Al</w:t>
      </w:r>
      <w:r w:rsidRPr="00DF7203">
        <w:rPr>
          <w:rFonts w:eastAsiaTheme="minorEastAsia" w:cs="Arial"/>
          <w:szCs w:val="24"/>
          <w:vertAlign w:val="subscript"/>
        </w:rPr>
        <w:t>10</w:t>
      </w:r>
      <w:r w:rsidRPr="00DF7203">
        <w:rPr>
          <w:rFonts w:eastAsiaTheme="minorEastAsia" w:cs="Arial"/>
          <w:szCs w:val="24"/>
        </w:rPr>
        <w:t>Cu</w:t>
      </w:r>
      <w:r w:rsidRPr="00DF7203">
        <w:rPr>
          <w:rFonts w:eastAsiaTheme="minorEastAsia" w:cs="Arial"/>
          <w:szCs w:val="24"/>
          <w:vertAlign w:val="subscript"/>
        </w:rPr>
        <w:t>10</w:t>
      </w:r>
      <w:r w:rsidRPr="00DF7203">
        <w:rPr>
          <w:rFonts w:eastAsiaTheme="minorEastAsia" w:cs="Arial"/>
          <w:szCs w:val="24"/>
        </w:rPr>
        <w:t xml:space="preserve">Fe, </w:t>
      </w:r>
      <w:r w:rsidRPr="00DF7203">
        <w:rPr>
          <w:rFonts w:eastAsiaTheme="minorEastAsia" w:cs="Arial"/>
          <w:szCs w:val="24"/>
          <w:lang w:val="en-US"/>
        </w:rPr>
        <w:t>θ</w:t>
      </w:r>
      <w:r w:rsidRPr="00DF7203">
        <w:rPr>
          <w:rFonts w:eastAsiaTheme="minorEastAsia" w:cs="Arial"/>
          <w:szCs w:val="24"/>
        </w:rPr>
        <w:t>-Al</w:t>
      </w:r>
      <w:r w:rsidRPr="00DF7203">
        <w:rPr>
          <w:rFonts w:eastAsiaTheme="minorEastAsia" w:cs="Arial"/>
          <w:szCs w:val="24"/>
          <w:vertAlign w:val="subscript"/>
        </w:rPr>
        <w:t>2</w:t>
      </w:r>
      <w:r w:rsidRPr="00DF7203">
        <w:rPr>
          <w:rFonts w:eastAsiaTheme="minorEastAsia" w:cs="Arial"/>
          <w:szCs w:val="24"/>
        </w:rPr>
        <w:t xml:space="preserve">Cu, </w:t>
      </w:r>
      <w:r w:rsidRPr="00DF7203">
        <w:rPr>
          <w:rFonts w:eastAsiaTheme="minorEastAsia" w:cs="Arial"/>
          <w:szCs w:val="24"/>
          <w:lang w:val="en-US"/>
        </w:rPr>
        <w:t>ω</w:t>
      </w:r>
      <w:r w:rsidRPr="00DF7203">
        <w:rPr>
          <w:rFonts w:eastAsiaTheme="minorEastAsia" w:cs="Arial"/>
          <w:szCs w:val="24"/>
        </w:rPr>
        <w:t>-Al</w:t>
      </w:r>
      <w:r w:rsidRPr="00DF7203">
        <w:rPr>
          <w:rFonts w:eastAsiaTheme="minorEastAsia" w:cs="Arial"/>
          <w:szCs w:val="24"/>
          <w:vertAlign w:val="subscript"/>
        </w:rPr>
        <w:t>7</w:t>
      </w:r>
      <w:r w:rsidRPr="00DF7203">
        <w:rPr>
          <w:rFonts w:eastAsiaTheme="minorEastAsia" w:cs="Arial"/>
          <w:szCs w:val="24"/>
        </w:rPr>
        <w:t>Cu</w:t>
      </w:r>
      <w:r w:rsidRPr="00DF7203">
        <w:rPr>
          <w:rFonts w:eastAsiaTheme="minorEastAsia" w:cs="Arial"/>
          <w:szCs w:val="24"/>
          <w:vertAlign w:val="subscript"/>
        </w:rPr>
        <w:t>2</w:t>
      </w:r>
      <w:r>
        <w:rPr>
          <w:rFonts w:eastAsiaTheme="minorEastAsia" w:cs="Arial"/>
          <w:szCs w:val="24"/>
        </w:rPr>
        <w:t>Fe e</w:t>
      </w:r>
      <w:r w:rsidRPr="00DF7203">
        <w:rPr>
          <w:rFonts w:eastAsiaTheme="minorEastAsia" w:cs="Arial"/>
          <w:szCs w:val="24"/>
        </w:rPr>
        <w:t xml:space="preserve"> </w:t>
      </w:r>
      <w:r w:rsidRPr="00DF7203">
        <w:rPr>
          <w:rFonts w:eastAsiaTheme="minorEastAsia" w:cs="Arial"/>
          <w:szCs w:val="24"/>
          <w:lang w:val="en-US"/>
        </w:rPr>
        <w:t>β</w:t>
      </w:r>
      <w:r w:rsidRPr="00DF7203">
        <w:rPr>
          <w:rFonts w:eastAsiaTheme="minorEastAsia" w:cs="Arial"/>
          <w:szCs w:val="24"/>
        </w:rPr>
        <w:t>-AlFe(Cu)).</w:t>
      </w:r>
    </w:p>
    <w:p w:rsidR="00030EC4" w:rsidRPr="00DF7203" w:rsidRDefault="00030EC4" w:rsidP="00030EC4">
      <w:pPr>
        <w:pStyle w:val="ListParagraph"/>
        <w:numPr>
          <w:ilvl w:val="0"/>
          <w:numId w:val="2"/>
        </w:numPr>
        <w:ind w:left="709" w:firstLine="0"/>
        <w:rPr>
          <w:rFonts w:cs="Arial"/>
        </w:rPr>
      </w:pPr>
      <w:r w:rsidRPr="00DF7203">
        <w:t xml:space="preserve">O sistema Al-Cu-Fe-Cr teve sua região composicional de formação da fase decagonal definida para as composições de Al entre 60 e 70 %at. Para ligas com composição de Al em torno de 65%, a faixa composicional onde a fase decagonal é encontrada foi </w:t>
      </w:r>
      <w:r w:rsidRPr="00DF7203">
        <w:rPr>
          <w:rFonts w:cs="Arial"/>
          <w:szCs w:val="24"/>
        </w:rPr>
        <w:t>Al</w:t>
      </w:r>
      <w:r w:rsidRPr="00DF7203">
        <w:rPr>
          <w:rFonts w:cs="Arial"/>
          <w:szCs w:val="24"/>
          <w:vertAlign w:val="subscript"/>
        </w:rPr>
        <w:t>63-65</w:t>
      </w:r>
      <w:r w:rsidRPr="00DF7203">
        <w:rPr>
          <w:rFonts w:cs="Arial"/>
          <w:szCs w:val="24"/>
        </w:rPr>
        <w:t>Cu</w:t>
      </w:r>
      <w:r w:rsidRPr="00DF7203">
        <w:rPr>
          <w:rFonts w:cs="Arial"/>
          <w:szCs w:val="24"/>
          <w:vertAlign w:val="subscript"/>
        </w:rPr>
        <w:t>12-22</w:t>
      </w:r>
      <w:r w:rsidRPr="00DF7203">
        <w:rPr>
          <w:rFonts w:cs="Arial"/>
          <w:szCs w:val="24"/>
        </w:rPr>
        <w:t>Fe</w:t>
      </w:r>
      <w:r w:rsidRPr="00DF7203">
        <w:rPr>
          <w:rFonts w:cs="Arial"/>
          <w:szCs w:val="24"/>
          <w:vertAlign w:val="subscript"/>
        </w:rPr>
        <w:t>5-11</w:t>
      </w:r>
      <w:r w:rsidRPr="00DF7203">
        <w:rPr>
          <w:rFonts w:cs="Arial"/>
          <w:szCs w:val="24"/>
        </w:rPr>
        <w:t>Cr</w:t>
      </w:r>
      <w:r w:rsidRPr="00DF7203">
        <w:rPr>
          <w:rFonts w:cs="Arial"/>
          <w:szCs w:val="24"/>
          <w:vertAlign w:val="subscript"/>
        </w:rPr>
        <w:t>6-15</w:t>
      </w:r>
      <w:r w:rsidRPr="00DF7203">
        <w:rPr>
          <w:rFonts w:cs="Arial"/>
          <w:szCs w:val="24"/>
        </w:rPr>
        <w:t>. Já para a faixa composicional com Al em torno de 67%, a faixa composicional foi de Al</w:t>
      </w:r>
      <w:r w:rsidRPr="00DF7203">
        <w:rPr>
          <w:rFonts w:cs="Arial"/>
          <w:szCs w:val="24"/>
          <w:vertAlign w:val="subscript"/>
        </w:rPr>
        <w:t>65-67</w:t>
      </w:r>
      <w:r w:rsidRPr="00DF7203">
        <w:rPr>
          <w:rFonts w:cs="Arial"/>
          <w:szCs w:val="24"/>
        </w:rPr>
        <w:t>Cu</w:t>
      </w:r>
      <w:r w:rsidRPr="00DF7203">
        <w:rPr>
          <w:rFonts w:cs="Arial"/>
          <w:szCs w:val="24"/>
          <w:vertAlign w:val="subscript"/>
        </w:rPr>
        <w:t>8-20</w:t>
      </w:r>
      <w:r w:rsidRPr="00DF7203">
        <w:rPr>
          <w:rFonts w:cs="Arial"/>
          <w:szCs w:val="24"/>
        </w:rPr>
        <w:t>Fe</w:t>
      </w:r>
      <w:r w:rsidRPr="00DF7203">
        <w:rPr>
          <w:rFonts w:cs="Arial"/>
          <w:szCs w:val="24"/>
          <w:vertAlign w:val="subscript"/>
        </w:rPr>
        <w:t>4-11</w:t>
      </w:r>
      <w:r w:rsidRPr="00DF7203">
        <w:rPr>
          <w:rFonts w:cs="Arial"/>
          <w:szCs w:val="24"/>
        </w:rPr>
        <w:t>Cr</w:t>
      </w:r>
      <w:r w:rsidRPr="00DF7203">
        <w:rPr>
          <w:rFonts w:cs="Arial"/>
          <w:szCs w:val="24"/>
          <w:vertAlign w:val="subscript"/>
        </w:rPr>
        <w:t>8-16</w:t>
      </w:r>
      <w:r w:rsidRPr="00DF7203">
        <w:rPr>
          <w:rFonts w:cs="Arial"/>
          <w:szCs w:val="24"/>
        </w:rPr>
        <w:t>.</w:t>
      </w:r>
    </w:p>
    <w:p w:rsidR="00030EC4" w:rsidRPr="00DF7203" w:rsidRDefault="00030EC4" w:rsidP="00030EC4">
      <w:pPr>
        <w:pStyle w:val="ListParagraph"/>
        <w:numPr>
          <w:ilvl w:val="0"/>
          <w:numId w:val="2"/>
        </w:numPr>
        <w:ind w:left="709" w:firstLine="0"/>
        <w:rPr>
          <w:rFonts w:cs="Arial"/>
        </w:rPr>
      </w:pPr>
      <w:r w:rsidRPr="00DF7203">
        <w:t xml:space="preserve">Foi verificada a possibilidade da existência de um campo bifásico de estabilidade da fase decagonal com Al-FCC no sistema Al-Cu-Fe-Cr. Uma liga com composição </w:t>
      </w:r>
      <w:r w:rsidRPr="00DF7203">
        <w:rPr>
          <w:rFonts w:cs="Arial"/>
          <w:szCs w:val="24"/>
        </w:rPr>
        <w:t>Al</w:t>
      </w:r>
      <w:r w:rsidRPr="00DF7203">
        <w:rPr>
          <w:rFonts w:cs="Arial"/>
          <w:szCs w:val="24"/>
          <w:vertAlign w:val="subscript"/>
        </w:rPr>
        <w:t>85</w:t>
      </w:r>
      <w:r w:rsidRPr="00DF7203">
        <w:rPr>
          <w:rFonts w:cs="Arial"/>
          <w:szCs w:val="24"/>
        </w:rPr>
        <w:t>Cu</w:t>
      </w:r>
      <w:r w:rsidRPr="00DF7203">
        <w:rPr>
          <w:rFonts w:cs="Arial"/>
          <w:szCs w:val="24"/>
          <w:vertAlign w:val="subscript"/>
        </w:rPr>
        <w:t>6,75</w:t>
      </w:r>
      <w:r w:rsidRPr="00DF7203">
        <w:rPr>
          <w:rFonts w:cs="Arial"/>
          <w:szCs w:val="24"/>
        </w:rPr>
        <w:t>Fe</w:t>
      </w:r>
      <w:r w:rsidRPr="00DF7203">
        <w:rPr>
          <w:rFonts w:cs="Arial"/>
          <w:szCs w:val="24"/>
          <w:vertAlign w:val="subscript"/>
        </w:rPr>
        <w:t>3,375</w:t>
      </w:r>
      <w:r w:rsidRPr="00DF7203">
        <w:rPr>
          <w:rFonts w:cs="Arial"/>
          <w:szCs w:val="24"/>
        </w:rPr>
        <w:t>Cr</w:t>
      </w:r>
      <w:r w:rsidRPr="00DF7203">
        <w:rPr>
          <w:rFonts w:cs="Arial"/>
          <w:szCs w:val="24"/>
          <w:vertAlign w:val="subscript"/>
        </w:rPr>
        <w:t>4,875</w:t>
      </w:r>
      <w:r w:rsidRPr="00DF7203">
        <w:rPr>
          <w:rFonts w:cs="Arial"/>
          <w:szCs w:val="24"/>
        </w:rPr>
        <w:t xml:space="preserve"> foi selecionada a partir dos resultados obtidos com as bibliotecas composicionais e mostrou, após um tratamento </w:t>
      </w:r>
      <w:r w:rsidRPr="00DF7203">
        <w:rPr>
          <w:rFonts w:cs="Arial"/>
          <w:szCs w:val="24"/>
        </w:rPr>
        <w:lastRenderedPageBreak/>
        <w:t xml:space="preserve">térmico, a formação de uma estrutura consistindo de duas fases majoritárias: Al-FCC + QC (ou seu aproximante) com uma pequena fração da fase </w:t>
      </w:r>
      <w:r w:rsidRPr="00DF7203">
        <w:rPr>
          <w:rFonts w:eastAsiaTheme="minorEastAsia" w:cs="Arial"/>
          <w:szCs w:val="24"/>
          <w:lang w:val="en-US"/>
        </w:rPr>
        <w:t>ω</w:t>
      </w:r>
      <w:r w:rsidRPr="00DF7203">
        <w:rPr>
          <w:rFonts w:eastAsiaTheme="minorEastAsia" w:cs="Arial"/>
          <w:szCs w:val="24"/>
        </w:rPr>
        <w:t>-Al</w:t>
      </w:r>
      <w:r w:rsidRPr="00DF7203">
        <w:rPr>
          <w:rFonts w:eastAsiaTheme="minorEastAsia" w:cs="Arial"/>
          <w:szCs w:val="24"/>
          <w:vertAlign w:val="subscript"/>
        </w:rPr>
        <w:t>7</w:t>
      </w:r>
      <w:r w:rsidRPr="00DF7203">
        <w:rPr>
          <w:rFonts w:eastAsiaTheme="minorEastAsia" w:cs="Arial"/>
          <w:szCs w:val="24"/>
        </w:rPr>
        <w:t>Cu</w:t>
      </w:r>
      <w:r w:rsidRPr="00DF7203">
        <w:rPr>
          <w:rFonts w:eastAsiaTheme="minorEastAsia" w:cs="Arial"/>
          <w:szCs w:val="24"/>
          <w:vertAlign w:val="subscript"/>
        </w:rPr>
        <w:t>2</w:t>
      </w:r>
      <w:r w:rsidRPr="00DF7203">
        <w:rPr>
          <w:rFonts w:eastAsiaTheme="minorEastAsia" w:cs="Arial"/>
          <w:szCs w:val="24"/>
        </w:rPr>
        <w:t>Fe.</w:t>
      </w:r>
    </w:p>
    <w:p w:rsidR="00030EC4" w:rsidRPr="00030EC4" w:rsidRDefault="00030EC4">
      <w:pPr>
        <w:rPr>
          <w:lang w:val="pt-BR"/>
        </w:rPr>
      </w:pPr>
    </w:p>
    <w:sectPr w:rsidR="00030EC4" w:rsidRPr="00030E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1373"/>
    <w:multiLevelType w:val="multilevel"/>
    <w:tmpl w:val="725CBDDA"/>
    <w:lvl w:ilvl="0">
      <w:start w:val="1"/>
      <w:numFmt w:val="decimal"/>
      <w:lvlText w:val="%1"/>
      <w:lvlJc w:val="left"/>
      <w:pPr>
        <w:ind w:left="1428" w:hanging="360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isLgl/>
      <w:lvlText w:val="%1.%2"/>
      <w:lvlJc w:val="left"/>
      <w:pPr>
        <w:ind w:left="1773" w:hanging="705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1800"/>
      </w:pPr>
      <w:rPr>
        <w:rFonts w:hint="default"/>
      </w:rPr>
    </w:lvl>
  </w:abstractNum>
  <w:abstractNum w:abstractNumId="1">
    <w:nsid w:val="02EA02D6"/>
    <w:multiLevelType w:val="hybridMultilevel"/>
    <w:tmpl w:val="DBA2635A"/>
    <w:lvl w:ilvl="0" w:tplc="0416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C4"/>
    <w:rsid w:val="00030EC4"/>
    <w:rsid w:val="0055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030EC4"/>
    <w:pPr>
      <w:keepNext/>
      <w:keepLines/>
      <w:spacing w:after="0" w:line="480" w:lineRule="auto"/>
      <w:jc w:val="both"/>
      <w:outlineLvl w:val="1"/>
    </w:pPr>
    <w:rPr>
      <w:rFonts w:ascii="Arial" w:eastAsiaTheme="majorEastAsia" w:hAnsi="Arial" w:cstheme="majorBidi"/>
      <w:b/>
      <w:bCs/>
      <w:sz w:val="24"/>
      <w:szCs w:val="26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30EC4"/>
    <w:rPr>
      <w:rFonts w:ascii="Arial" w:eastAsiaTheme="majorEastAsia" w:hAnsi="Arial" w:cstheme="majorBidi"/>
      <w:b/>
      <w:bCs/>
      <w:sz w:val="24"/>
      <w:szCs w:val="26"/>
      <w:lang w:val="pt-BR"/>
    </w:rPr>
  </w:style>
  <w:style w:type="paragraph" w:styleId="ListParagraph">
    <w:name w:val="List Paragraph"/>
    <w:basedOn w:val="Normal"/>
    <w:uiPriority w:val="34"/>
    <w:qFormat/>
    <w:rsid w:val="00030EC4"/>
    <w:pPr>
      <w:spacing w:after="0" w:line="360" w:lineRule="auto"/>
      <w:ind w:left="720"/>
      <w:contextualSpacing/>
      <w:jc w:val="both"/>
    </w:pPr>
    <w:rPr>
      <w:rFonts w:ascii="Arial" w:hAnsi="Arial"/>
      <w:sz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030EC4"/>
    <w:pPr>
      <w:keepNext/>
      <w:keepLines/>
      <w:spacing w:after="0" w:line="480" w:lineRule="auto"/>
      <w:jc w:val="both"/>
      <w:outlineLvl w:val="1"/>
    </w:pPr>
    <w:rPr>
      <w:rFonts w:ascii="Arial" w:eastAsiaTheme="majorEastAsia" w:hAnsi="Arial" w:cstheme="majorBidi"/>
      <w:b/>
      <w:bCs/>
      <w:sz w:val="24"/>
      <w:szCs w:val="26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30EC4"/>
    <w:rPr>
      <w:rFonts w:ascii="Arial" w:eastAsiaTheme="majorEastAsia" w:hAnsi="Arial" w:cstheme="majorBidi"/>
      <w:b/>
      <w:bCs/>
      <w:sz w:val="24"/>
      <w:szCs w:val="26"/>
      <w:lang w:val="pt-BR"/>
    </w:rPr>
  </w:style>
  <w:style w:type="paragraph" w:styleId="ListParagraph">
    <w:name w:val="List Paragraph"/>
    <w:basedOn w:val="Normal"/>
    <w:uiPriority w:val="34"/>
    <w:qFormat/>
    <w:rsid w:val="00030EC4"/>
    <w:pPr>
      <w:spacing w:after="0" w:line="360" w:lineRule="auto"/>
      <w:ind w:left="720"/>
      <w:contextualSpacing/>
      <w:jc w:val="both"/>
    </w:pPr>
    <w:rPr>
      <w:rFonts w:ascii="Arial" w:hAnsi="Arial"/>
      <w:sz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Kiminami</dc:creator>
  <cp:lastModifiedBy>Daniel Kiminami</cp:lastModifiedBy>
  <cp:revision>1</cp:revision>
  <dcterms:created xsi:type="dcterms:W3CDTF">2019-10-17T20:53:00Z</dcterms:created>
  <dcterms:modified xsi:type="dcterms:W3CDTF">2019-10-17T20:54:00Z</dcterms:modified>
</cp:coreProperties>
</file>